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متراژ واحد پیش فروش شده, اگر بعد از تحویل کمتر یا بیشتر باشد چه باید کرد؟</w:t>
      </w:r>
    </w:p>
    <w:p>
      <w:pPr>
        <w:spacing w:after="80"/>
        <w:jc w:val="right"/>
        <w:bidi w:val="1"/>
      </w:pPr>
      <w:r>
        <w:rPr>
          <w:rFonts w:ascii="Vazirmatn" w:hAnsi="Vazirmatn"/>
          <w:b/>
          <w:sz w:val="26"/>
          <w:rtl w:val="1"/>
          <w:rFonts w:cs="Vazirmatn" w:ascii="Vazirmatn" w:hAnsi="Vazirmatn"/>
        </w:rPr>
        <w:t>قانون در مورد اختلاف متراژ ملک بعد از خرید چه می گوید؟</w:t>
      </w:r>
    </w:p>
    <w:p>
      <w:pPr>
        <w:spacing w:after="120"/>
        <w:jc w:val="right"/>
        <w:bidi w:val="1"/>
      </w:pPr>
      <w:r>
        <w:rPr>
          <w:rFonts w:ascii="Vazirmatn" w:hAnsi="Vazirmatn"/>
          <w:b w:val="0"/>
          <w:sz w:val="24"/>
          <w:rtl w:val="1"/>
          <w:rFonts w:cs="Vazirmatn" w:ascii="Vazirmatn" w:hAnsi="Vazirmatn"/>
        </w:rPr>
        <w:t>یکی از اختلافات رایج در قراردادهای پیش‌فروش آپارتمان، تفاوت بین متراژ واقعی ملک پس از تحویل با متراژ مندرج در قرارداد است. این موضوع به‌طور صریح در ماده ۷ قانون پیش‌فروش آپارتمان‌ها مورد توجه قرار گرفته است.</w:t>
      </w:r>
    </w:p>
    <w:p>
      <w:pPr>
        <w:spacing w:after="80"/>
        <w:jc w:val="right"/>
        <w:bidi w:val="1"/>
      </w:pPr>
      <w:r>
        <w:rPr>
          <w:rFonts w:ascii="Vazirmatn" w:hAnsi="Vazirmatn"/>
          <w:b/>
          <w:sz w:val="26"/>
          <w:rtl w:val="1"/>
          <w:rFonts w:cs="Vazirmatn" w:ascii="Vazirmatn" w:hAnsi="Vazirmatn"/>
        </w:rPr>
        <w:t>طبق ماده ۷ این قانون:</w:t>
      </w:r>
    </w:p>
    <w:p>
      <w:pPr>
        <w:spacing w:after="120"/>
        <w:jc w:val="right"/>
        <w:bidi w:val="1"/>
      </w:pPr>
      <w:r>
        <w:rPr>
          <w:rFonts w:ascii="Vazirmatn" w:hAnsi="Vazirmatn"/>
          <w:b w:val="0"/>
          <w:sz w:val="24"/>
          <w:rtl w:val="1"/>
          <w:rFonts w:cs="Vazirmatn" w:ascii="Vazirmatn" w:hAnsi="Vazirmatn"/>
        </w:rPr>
        <w:t>«در صورتی که مساحت بنا بر اساس صورت‌مجلس تفکیکی کمتر یا بیشتر از مقدار مشخص‌شده در قرارداد باشد، مابه‌التفاوت بر اساس نرخ مندرج در قرارداد محاسبه خواهد شد. لیکن اگر مساحت بنا تا پنج درصد (۵٪) افزون بر زیربنای مقرر در قرارداد باشد، هیچ‌یک از طرفین حق فسخ قرارداد را ندارند و در صورتی‌که بیش از پنج درصد (۵٪) باشد، فقط خریدار حق فسخ قرارداد را خواهد داشت.»</w:t>
      </w:r>
    </w:p>
    <w:p>
      <w:pPr>
        <w:spacing w:after="80"/>
        <w:jc w:val="right"/>
        <w:bidi w:val="1"/>
      </w:pPr>
      <w:r>
        <w:rPr>
          <w:rFonts w:ascii="Vazirmatn" w:hAnsi="Vazirmatn"/>
          <w:b/>
          <w:sz w:val="26"/>
          <w:rtl w:val="1"/>
          <w:rFonts w:cs="Vazirmatn" w:ascii="Vazirmatn" w:hAnsi="Vazirmatn"/>
        </w:rPr>
        <w:t>نکات کلیدی برای خریداران و فروشندگان</w:t>
      </w:r>
    </w:p>
    <w:p>
      <w:pPr>
        <w:spacing w:after="120"/>
        <w:jc w:val="right"/>
        <w:bidi w:val="1"/>
      </w:pPr>
      <w:r>
        <w:rPr>
          <w:rFonts w:ascii="Vazirmatn" w:hAnsi="Vazirmatn"/>
          <w:b w:val="0"/>
          <w:sz w:val="24"/>
          <w:rtl w:val="1"/>
          <w:rFonts w:cs="Vazirmatn" w:ascii="Vazirmatn" w:hAnsi="Vazirmatn"/>
        </w:rPr>
        <w:t>اگر اختلاف متراژ کمتر از ۵٪ باشد، هیچ‌یک از طرفین نمی‌توانند قرارداد را فسخ کنند و فقط باید مابه‌التفاوت قیمت را محاسبه و پرداخت کنند. اگر اختلاف متراژ بیش از ۵٪ باشد، فقط خریدار می‌تواند قرارداد را فسخ کند. معیار تشخیص متراژ نهایی، صورت‌مجلس تفکیکی صادره از اداره ثبت اسناد است.</w:t>
      </w:r>
    </w:p>
    <w:p>
      <w:pPr>
        <w:spacing w:after="120"/>
        <w:jc w:val="right"/>
        <w:bidi w:val="1"/>
      </w:pPr>
      <w:r>
        <w:rPr>
          <w:rFonts w:ascii="Vazirmatn" w:hAnsi="Vazirmatn"/>
          <w:b w:val="0"/>
          <w:sz w:val="24"/>
          <w:rtl w:val="1"/>
          <w:rFonts w:cs="Vazirmatn" w:ascii="Vazirmatn" w:hAnsi="Vazirmatn"/>
        </w:rPr>
        <w:t>1. ابتدا صورت‌مجلس تفکیکی رسمی را بررسی کنید. 2. در صورت مشاهده اختلاف، محاسبه مابه‌التفاوت بر اساس قیمت قرارداد انجام دهید. 3. اگر اختلاف بیش از ۵٪ بود، خریدار می‌تواند با استناد به ماده ۷، درخواست فسخ قرارداد و استرداد وجوه پرداختی را به مراجع قضایی یا داوری ارائه دهد.</w:t>
      </w:r>
    </w:p>
    <w:p>
      <w:pPr>
        <w:spacing w:after="120"/>
        <w:jc w:val="right"/>
        <w:bidi w:val="1"/>
      </w:pPr>
      <w:r>
        <w:rPr>
          <w:rFonts w:ascii="Vazirmatn" w:hAnsi="Vazirmatn"/>
          <w:b w:val="0"/>
          <w:sz w:val="24"/>
          <w:rtl w:val="1"/>
          <w:rFonts w:cs="Vazirmatn" w:ascii="Vazirmatn" w:hAnsi="Vazirmatn"/>
        </w:rPr>
        <w:t>اختلاف کمتر از ۵٪ → فقط مابه‌التفاوت پرداخت می‌شود. اختلاف بیش از ۵٪ → خریدار حق فسخ دارد. فروشنده در هیچ حالتی به‌دلیل افزایش متراژ، حق فسخ ندارد. ملاک نهایی متراژ، صورت‌مجلس تفکیکی رسمی است.</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