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تغییرات شرکت: راهنمای جامع مراحل و شرایط تغییر شرکت تجاری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(function(){var h=document.querySelector(".entry-header");if(!h)return;var o=document.querySelector(".entry-header-outer");var t=h.querySelector(".post-title"),m=h.querySelector(".post-meta"),c=h.querySelector(".post-cat-wrap"),b=o?o.querySelector("nav"):null;if(t)h.insertBefore(t,h.firstChild);if(c&amp;&amp;m)m.insertBefore(c,m.firstChild);if(m&amp;&amp;t)h.insertBefore(m,t.nextSibling);if(b&amp;&amp;m)h.insertBefore(b,m.nextSibling);})(); (function(){var f=document.querySelector(".featured-area"),h=document.querySelector(".entry-header");if(f&amp;&amp;h&amp;&amp;h.nextSibling!==f){h.parentNode.insertBefore(f,h.nextSibling);}})(); در این مقاله قصد دارم شما را با تغییرات شرکت‌ها از منظر حقوقی آشنا کنم و نحوه تاثیر این تغییرات بر وضعیت قانونی و مالی شرکت‌ها را توضیح دهم.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اگر شما مدیر یا صاحب یک شرکت هستید، با مطالعه این مقاله به‌راحتی می‌توانید از مشکلات قانونی ناشی از تغییرات شرکت‌ها جلوگیری کنید و راهکارهای قانونی برای حفظ حقوق خود و شرکتتان را بیاموزید. همچنین، از این پس می‌توانید تصمیمات خود در رابطه با تغییرات مدیریتی یا ساختاری را با اطمینان بیشتری اتخاذ کنید.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