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لایحه مستثنیات دین و درخواست رفع توقیف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مال توقیف‌شده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نوع، مشخصات، محل، تاریخ توقیف و ارزش تقریبی مال: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 شمول بر نیاز ضروری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کاربرد واقعی مال برای سکونت، امرار معاش یا نیاز ضروری: [....].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نبود مال جایگزین متناسب و وضعیت افراد تحت تکفل: [....].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مدارک شامل اجاره‌نامه/سند، گواهی شغل، فاکتور ابزار، مدارک پزشکی یا معیشتی: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درخواست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بررسی وضعیت واقعی و رفع توقیف مال در محدوده شمول مقررات مستثنیات دین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ارزش و شأن عرفی مال و امکان وجود جایگزین در تصمیم مؤثر است؛ اطلاعات دارایی‌ها کامل ارائه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اجرای احکام مدنی با اصلاحات و مقررات مرتبط — https://www.mizanonline.ir/fa/news/4740902/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لایحه مستثنیات دین و درخواست رفع توقیف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